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03" w:rsidRPr="00FF5344" w:rsidRDefault="00FF5344" w:rsidP="00C37B0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Times New Roman" w:hAnsi="PT Astra Serif" w:cs="Calibri"/>
          <w:sz w:val="24"/>
          <w:szCs w:val="24"/>
          <w:lang w:eastAsia="ru-RU"/>
        </w:rPr>
        <w:t>ПРОЕКТ</w:t>
      </w:r>
    </w:p>
    <w:p w:rsidR="00C37B03" w:rsidRPr="00FF5344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eastAsia="Calibri" w:hAnsi="PT Astra Serif" w:cs="Times New Roman"/>
          <w:sz w:val="24"/>
          <w:szCs w:val="24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eastAsia="Calibri" w:hAnsi="PT Astra Serif" w:cs="Times New Roman"/>
          <w:sz w:val="26"/>
          <w:szCs w:val="26"/>
        </w:rPr>
      </w:pPr>
      <w:bookmarkStart w:id="0" w:name="_GoBack"/>
      <w:bookmarkEnd w:id="0"/>
    </w:p>
    <w:p w:rsidR="00C37B03" w:rsidRPr="00FF5344" w:rsidRDefault="00C37B03" w:rsidP="00C37B0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eastAsia="Times New Roman" w:hAnsi="PT Astra Serif" w:cs="Calibri"/>
          <w:b/>
          <w:color w:val="000000"/>
          <w:sz w:val="26"/>
          <w:szCs w:val="26"/>
          <w:lang w:eastAsia="ru-RU"/>
        </w:rPr>
      </w:pPr>
      <w:r w:rsidRPr="00FF5344">
        <w:rPr>
          <w:rFonts w:ascii="PT Astra Serif" w:eastAsia="Times New Roman" w:hAnsi="PT Astra Serif" w:cs="Calibri"/>
          <w:b/>
          <w:color w:val="000000"/>
          <w:sz w:val="26"/>
          <w:szCs w:val="26"/>
          <w:lang w:eastAsia="ru-RU"/>
        </w:rPr>
        <w:t>Порядок предоставления и распределения субсидий из областного бюджета</w:t>
      </w:r>
    </w:p>
    <w:p w:rsidR="00C37B03" w:rsidRPr="00FF5344" w:rsidRDefault="00C37B03" w:rsidP="00C37B0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eastAsia="Times New Roman" w:hAnsi="PT Astra Serif" w:cs="Calibri"/>
          <w:b/>
          <w:color w:val="000000"/>
          <w:sz w:val="26"/>
          <w:szCs w:val="26"/>
          <w:lang w:eastAsia="ru-RU"/>
        </w:rPr>
      </w:pPr>
      <w:r w:rsidRPr="00FF5344">
        <w:rPr>
          <w:rFonts w:ascii="PT Astra Serif" w:eastAsia="Times New Roman" w:hAnsi="PT Astra Serif" w:cs="Calibri"/>
          <w:b/>
          <w:color w:val="000000"/>
          <w:sz w:val="26"/>
          <w:szCs w:val="26"/>
          <w:lang w:eastAsia="ru-RU"/>
        </w:rPr>
        <w:t xml:space="preserve"> местным бюджетам на проведение комплексных кадастровых работ</w:t>
      </w:r>
    </w:p>
    <w:p w:rsidR="00C37B03" w:rsidRPr="00FF5344" w:rsidRDefault="00C37B03" w:rsidP="00C37B0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eastAsia="Times New Roman" w:hAnsi="PT Astra Serif" w:cs="Calibri"/>
          <w:b/>
          <w:color w:val="000000"/>
          <w:sz w:val="26"/>
          <w:szCs w:val="26"/>
          <w:lang w:eastAsia="ru-RU"/>
        </w:rPr>
      </w:pPr>
      <w:r w:rsidRPr="00FF5344">
        <w:rPr>
          <w:rFonts w:ascii="PT Astra Serif" w:eastAsia="Times New Roman" w:hAnsi="PT Astra Serif" w:cs="Calibri"/>
          <w:b/>
          <w:color w:val="000000"/>
          <w:sz w:val="26"/>
          <w:szCs w:val="26"/>
          <w:lang w:eastAsia="ru-RU"/>
        </w:rPr>
        <w:t xml:space="preserve"> на территории Томской области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1. Настоящий Порядок устанавливает правила предоставления и распределения субсидий из областного бюджета местным бюджетам на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расходных обязательств муниципальных образований, возникающих при проведении комплексных кадастровых работ на территории Томской области (далее - субсидии).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2. Целью предоставления субсидии является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расходных обязательств муниципальных образований, возникающих при проведении комплексных кадастровых работ на территории Томской области.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3. Субсидии распределяются между муниципальными образованиями в пределах бюджетных ассигнований, предусмотренных на предоставление субсидий законом Томской области об областном бюджете на очередной финансовый год и плановый период (далее - закон об областном бюджете).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4. Распределение субсидий утверждается законом об областном бюджете.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bookmarkStart w:id="1" w:name="P1204"/>
      <w:bookmarkEnd w:id="1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5. Критерии отбора муниципальных образований для предоставления субсидий: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1) наличие потребности муниципальных образований в проведении в очередном финансовом году и (или) плановом периоде комплексных кадастровых работ в границах конкретных кадастровых кварталов (далее - приоритетные кадастровые кварталы), подтвержденной органами местного самоуправления муниципальных образований, органом регистрации прав и (или) подведомственным ему государственным учреждением;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2) гарантийное письмо муниципального образования о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софинансировании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проведения комплексных кадастровых работ на территории муниципального образования из местного бюджета в объеме, необходимом для соблюдения предельного уровня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, установленного </w:t>
      </w:r>
      <w:hyperlink r:id="rId6" w:anchor="P1244" w:history="1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пунктом 8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3) наличие в отношении приоритетных кадастровых кварталов документов, предусмотренных </w:t>
      </w:r>
      <w:hyperlink r:id="rId7" w:history="1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частью 6 статьи 42.1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Федерального закона от 24 июля 2007 года            № 221-ФЗ «О кадастровой деятельности» в случаях, предусмотренных указанной статьей;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4) расположение не менее 80 процентов кадастровых кварталов, в границах которых предполагается проведение комплексных кадастровых работ и перечень которых утвержден Администрацией Томской области, в границах территории муниципального образования «Город Томск», а также прилегающих к нему муниципальных образований.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6. Условия предоставления субсидий: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муниципальных образований, в целях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2) наличие муниципального правового акта, устанавливающего расходное обязательство муниципального образования на проведение комплексных кадастровых </w:t>
      </w: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lastRenderedPageBreak/>
        <w:t>работ;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3) заключение с органами местного самоуправления муниципального образования соглашения о предоставлении субсидии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предусмотренных соглашением обязательств.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7. </w:t>
      </w:r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Методика расчета субсидии на 2024 год: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Расчет общего объема субсидий (V) осуществляется по формуле: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left="1069" w:firstLine="709"/>
        <w:contextualSpacing/>
        <w:jc w:val="center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r w:rsidRPr="00C37B03">
        <w:rPr>
          <w:rFonts w:ascii="PT Astra Serif" w:eastAsia="Times New Roman" w:hAnsi="PT Astra Serif" w:cs="Calibri"/>
          <w:noProof/>
          <w:color w:val="000000"/>
          <w:position w:val="-11"/>
          <w:sz w:val="26"/>
          <w:szCs w:val="26"/>
          <w:lang w:eastAsia="ru-RU"/>
        </w:rPr>
        <w:drawing>
          <wp:inline distT="0" distB="0" distL="0" distR="0">
            <wp:extent cx="73342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Объем субсидии, источником финансового обеспечения которой являются средства областного бюджета, бюджету i-го муниципального образования Томской области (</w:t>
      </w:r>
      <w:proofErr w:type="spell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Vi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) определяется с учетом потребности i-го муниципального образования Томской области по следующей формуле: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proofErr w:type="spell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Vi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 xml:space="preserve"> = </w:t>
      </w:r>
      <w:proofErr w:type="spellStart"/>
      <w:proofErr w:type="gram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Vi</w:t>
      </w:r>
      <w:proofErr w:type="gram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ОБ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, где: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proofErr w:type="spellStart"/>
      <w:proofErr w:type="gram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Vi</w:t>
      </w:r>
      <w:proofErr w:type="gram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ОБ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 xml:space="preserve"> - объем средств областного бюджета, предусмотренный на проведение комплексных кадастровых работ на территории i-го муниципального образования, тыс. рублей;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proofErr w:type="spellStart"/>
      <w:proofErr w:type="gram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Vi</w:t>
      </w:r>
      <w:proofErr w:type="gram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ОБ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 xml:space="preserve"> = </w:t>
      </w:r>
      <w:proofErr w:type="spell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k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 xml:space="preserve"> </w:t>
      </w:r>
      <w:proofErr w:type="spell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x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 xml:space="preserve"> VОБ / 100, где: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left="1069" w:firstLine="709"/>
        <w:contextualSpacing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proofErr w:type="gram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V</w:t>
      </w:r>
      <w:proofErr w:type="gram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ОБ - объем средств областного бюджета, предусмотренных на проведение комплексных кадастровых работ на территории Томской области, тыс. рублей;    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k - доля стоимости проведения комплексных кадастровых работ на территории i-го муниципального образования в общей стоимости проведения комплексных кадастровых работ на территории Томской области, проценты.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color w:val="00B050"/>
          <w:sz w:val="26"/>
          <w:szCs w:val="20"/>
        </w:rPr>
      </w:pPr>
      <w:r w:rsidRPr="00C37B03">
        <w:rPr>
          <w:rFonts w:ascii="PT Astra Serif" w:eastAsia="Times New Roman" w:hAnsi="PT Astra Serif" w:cs="Calibri"/>
          <w:noProof/>
          <w:color w:val="000000"/>
          <w:position w:val="-11"/>
          <w:sz w:val="26"/>
          <w:szCs w:val="26"/>
          <w:lang w:eastAsia="ru-RU"/>
        </w:rPr>
        <w:drawing>
          <wp:inline distT="0" distB="0" distL="0" distR="0">
            <wp:extent cx="234315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  <w:proofErr w:type="spellStart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Mi</w:t>
      </w:r>
      <w:proofErr w:type="spellEnd"/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 xml:space="preserve"> - количество объектов комплексных кадастровых работ, в отношении которых планируется проведение комплексных кадастровых работ на территории i-го муниципального образования, шт.;</w:t>
      </w:r>
    </w:p>
    <w:p w:rsidR="00C37B03" w:rsidRPr="00C37B03" w:rsidRDefault="00C37B03" w:rsidP="00C37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0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Times New Roman"/>
          <w:color w:val="000000"/>
          <w:sz w:val="26"/>
          <w:szCs w:val="20"/>
        </w:rPr>
        <w:t>N - стоимость проведения комплексных кадастровых работ в отношении одного объекта комплексных кадастровых работ, установленная в размере не более 797 рублей.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7.1. Методика расчета субсидий с 2025 года: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Расчет общего объема субсидий (V) осуществляется по формуле: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noProof/>
          <w:color w:val="000000"/>
          <w:position w:val="-11"/>
          <w:sz w:val="26"/>
          <w:szCs w:val="26"/>
          <w:lang w:eastAsia="ru-RU"/>
        </w:rPr>
        <w:drawing>
          <wp:inline distT="0" distB="0" distL="0" distR="0">
            <wp:extent cx="733425" cy="276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Объем субсидии, источником финансового обеспечения которой являются средства федерального и областного бюджетов, бюджету i-го муниципального образования Томской области (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) определяется с учетом потребности i-го </w:t>
      </w: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lastRenderedPageBreak/>
        <w:t>муниципального образования Томской области по следующей формуле: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= </w:t>
      </w: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ФБ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+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ViОБ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, где: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ФБ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- объем средств федерального бюджета, предусмотренный на проведение комплексных кадастровых работ на территории i-го муниципального образования, тыс. рублей;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ОБ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- объем средств областного бюджета (без учета средств федерального бюджета), предусмотренный на проведение комплексных кадастровых работ на территории i-го муниципального образования, тыс. рублей;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1) </w:t>
      </w: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ФБ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=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k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x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Vфб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/ 100, где: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фб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- объем средств федерального бюджета, предусмотренных на проведение комплексных кадастровых работ на территории Томской области, тыс. руб.;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k - доля стоимости проведения комплексных кадастровых работ на территории i-го муниципального образования в общей стоимости проведения комплексных кадастровых работ на территории Томской области, проценты.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noProof/>
          <w:color w:val="000000"/>
          <w:position w:val="-11"/>
          <w:sz w:val="26"/>
          <w:szCs w:val="26"/>
          <w:lang w:eastAsia="ru-RU"/>
        </w:rPr>
        <w:drawing>
          <wp:inline distT="0" distB="0" distL="0" distR="0">
            <wp:extent cx="2343150" cy="285750"/>
            <wp:effectExtent l="0" t="0" r="0" b="0"/>
            <wp:docPr id="4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FF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Mi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- количество объектов комплексных кадастровых работ, в отношении которых планируется проведение комплексных кадастровых работ на территории i-го муниципального образования, шт.;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N - стоимость проведения комплексных кадастровых работ в отношении одного объекта комплексных кадастровых работ, установленная в размере не более 797 рублей;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2) </w:t>
      </w: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Vi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ОБ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=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k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x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VОБ / 100, где: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ОБ - объем средств областного бюджета, предусмотренных на проведение комплексных кадастровых работ на территории Томской области, тыс. руб</w:t>
      </w:r>
      <w:bookmarkStart w:id="2" w:name="P1244"/>
      <w:bookmarkEnd w:id="2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лей.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8. Предельный уровень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Томской областью объема расходного обязательства муниципального образования, в целях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которого предоставляется субсидия, составляет 99 процентов от стоимости проведения комплексных кадастровых работ на территории Томской области.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9. Показателем результативности использования субсидии является количество объектов недвижимости в кадастровых кварталах, в отношении которых проведены комплексные кадастровые работы, единиц.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bookmarkStart w:id="3" w:name="P1247"/>
      <w:bookmarkEnd w:id="3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10. Для предоставления субсидии органы местного самоуправления муниципальных образований представляют в Департамент по управлению государственной собственностью Томской области (далее – департамент) заявку муниципального образования о предоставлении субсидии по форме, установленной распоряжением департамента, с приложением документов, подтверждающих соответствие муниципального образования критериям, установленным в </w:t>
      </w:r>
      <w:hyperlink w:anchor="P1204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пункте 5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 (далее – документы на предоставление субсидии).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bookmarkStart w:id="4" w:name="P1248"/>
      <w:bookmarkEnd w:id="4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11. Сроки представления документов на предоставление субсидии: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для предоставления субсидии в 2024 и последующих годах – в срок до 1 </w:t>
      </w: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lastRenderedPageBreak/>
        <w:t>августа года, предшествующего году предоставления субсидии.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В случае изменения объема бюджетных ассигнований, предусмотренных на проведение комплексных кадастровых работ на территории Томской области, отбор муниципальных образований для предоставления субсидий осуществляется по 15 декабря года, предшествующего году предоставления субсидии, в соответствии с настоящим Порядком.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12. Департамент регистрирует документы на предоставление субсидии в день их поступления, рассматривает указанные документы и принимает решение о предоставлении субсидии или об отказе в предоставлении субсидии.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bookmarkStart w:id="5" w:name="P1255"/>
      <w:bookmarkEnd w:id="5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13. Департамент принимает решение об отказе в предоставлении субсидии при наличии хотя бы одного из следующих оснований: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1) несоответствие муниципального образования критериям, установленным в </w:t>
      </w:r>
      <w:hyperlink w:anchor="P1204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пункте 5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2) несоответствие заявки муниципального образования о предоставлении субсидии требованию к форме, установленному в </w:t>
      </w:r>
      <w:hyperlink w:anchor="P1247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пункте 10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3) нарушение срока представления документов на предоставление субсидии, установленного в </w:t>
      </w:r>
      <w:hyperlink w:anchor="P1248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пункте 11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Порядка;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4) противоречие сведений, содержащихся в документах на предоставление субсидии, друг другу либо сведениям, содержащимся в других документах и информационных ресурсах, которые находятся в распоряжении департамента.</w:t>
      </w:r>
    </w:p>
    <w:p w:rsidR="00C37B03" w:rsidRPr="00C37B03" w:rsidRDefault="00C37B03" w:rsidP="00C37B0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14. В случае принятия решения об отказе в предоставлении субсидии департамент не позднее пятнадцати рабочих дней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 даты поступления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документов на предоставление субсидии в департамент направляет в орган местного самоуправления муниципального образования, представивший указанные документы, уведомление об отказе в предоставлении субсидии с указанием основания (оснований) принятия указанного решения.</w:t>
      </w:r>
    </w:p>
    <w:p w:rsidR="00C37B03" w:rsidRPr="00C37B03" w:rsidRDefault="00C37B03" w:rsidP="00C37B03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15. Департамент принимает решение о предоставлении субсидии при отсутствии оснований, предусмотренных </w:t>
      </w:r>
      <w:hyperlink w:anchor="P1255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пунктом 13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Порядка.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16. В случае принятия решения о предоставлении субсидии департамент не позднее пятнадцати рабочих дней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 даты поступления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документов на предоставление субсидии направляет в орган местного самоуправления муниципального образования, представивший указанные документы, уведомление о предоставлении субсидии.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17. Принятие департаментом решения о предоставлении субсидии является основанием для заключения соглашения, подготовленного (сформированного) с использованием государственной интегрированной информационной системы управления общественными финансами «Электронный бюджет» по типовой форме, утвержденной Министерством финансов Российской Федерации.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18. Изменение в распределение объемов субсидий между муниципальными образованиями осуществляется путем внесения изменений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в бюджетную роспись департамента без внесения изменений в закон об областном бюджете в случаях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: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перераспределение экономии, сложившейся у муниципального образования по итогам осуществления закупок;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изменение исходных показателей, используемых для расчета объема субсидии;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уменьшение муниципальным образованием общего объема бюджетных ассигнований из местного бюджета, предусмотренных в целях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расходного обязательства муниципального образования, возникающего при проведении комплексных кадастровых работ в границах муниципального образования.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lastRenderedPageBreak/>
        <w:t xml:space="preserve">В случае уменьшения муниципальным образованием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из местного бюджета расходного обязательства муниципального образования, на исполнение которого предоставляется субсидия, субсидия предоставляется в размере, определенном исходя из уровня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от уточненного общего объема бюджетных ассигнований, предусмотренных в финансовом году в местном бюджете на финансовое обеспечение указанного расходного обязательства.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После внесения изменений в бюджетную роспись департамент вносит изменения в соглашение в срок не позднее 20 рабочих дней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 даты внесения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изменений в бюджетную роспись.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19. Объем финансового обеспечения за счет средств местного бюджета, на исполнение которого предоставляется субсидия, может быть увеличен муниципальным образованием, что не влечет обязательств по увеличению размера предоставляемых субсидий из областного бюджета.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20. Для получения субсидии органы местного самоуправления муниципального образования представляют в департамент заявку о перечислении средств субсидии с приложением документов (далее – документы на получение субсидии):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1) копии муниципальных контрактов на проведение комплексных кадастровых работ на территории муниципального образования;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2) копии актов выполненных работ, иных документов, подтверждающих проведение предусмотренных муниципальными контрактами комплексных кадастровых работ;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3) выписка из местного бюджета или сводной бюджетной росписи местного бюджета о наличии бюджетных ассигнований на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расходных обязательств муниципальных образований, возникающих при проведении комплексных кадастровых работ в границах муниципальных образований, в объеме, необходимом для соблюдения предельного уровня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, установленного </w:t>
      </w:r>
      <w:hyperlink w:anchor="P1244" w:tooltip="#P1244" w:history="1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пунктом 8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По результатам рассмотрения документов на получение субсидии департамент принимает решение о перечислении субсидии или об отказе в перечислении субсидии.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bookmarkStart w:id="6" w:name="P1277"/>
      <w:bookmarkEnd w:id="6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21. Основаниями для принятия решения об отказе в перечислении субсидии являются: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1) непредставление (предоставление не в полном объеме) документов на получение субсидии;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2) противоречие сведений, содержащихся в документах на получение субсидии, друг другу либо сведениям, содержащимся в других документах и информационных ресурсах, которые находятся в распоряжении департамента.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22. В случае принятия решения об отказе в перечислении субсидии департамент не позднее десяти рабочих дней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 даты поступления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документов на получение субсидии в департамент направляет в орган местного самоуправления муниципального образования, представивший указанные документы, уведомление об отказе в перечислении субсидии с указанием основания (оснований) принятия указанного решения.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Орган местного самоуправления муниципального образования после устранения основания (оснований) для принятия решения об отказе в перечислении субсидии представляет документы на получение субсидии повторно.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23. Департамент принимает решение о перечислении субсидии при отсутствии оснований, предусмотренных </w:t>
      </w:r>
      <w:hyperlink w:anchor="P1277" w:tooltip="#P1277" w:history="1">
        <w:r w:rsidRPr="00C37B03">
          <w:rPr>
            <w:rFonts w:ascii="PT Astra Serif" w:eastAsia="Times New Roman" w:hAnsi="PT Astra Serif" w:cs="Calibri"/>
            <w:color w:val="000000"/>
            <w:sz w:val="26"/>
            <w:szCs w:val="26"/>
            <w:lang w:eastAsia="ru-RU"/>
          </w:rPr>
          <w:t>пунктом 21</w:t>
        </w:r>
      </w:hyperlink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настоящего Порядка.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lastRenderedPageBreak/>
        <w:t xml:space="preserve">В случае принятия решения о перечислении субсидии департамент не позднее пятнадцати рабочих дней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 даты поступления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документов на получение субсидии осуществляет перечисление субсидии и уведомляет об этом орган местного самоуправления муниципального образования, представивший указанные документы.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24. </w:t>
      </w:r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В случае если муниципальным образованием по состоянию на 31 декабря года предоставления субсидии не достигнуто значение показателя результативности использования субсидии, установленное соглашением, в срок не позднее десяти рабочих дней с даты представления отчетности о достижении значения показателя результативности по итогам отчетного финансового года департамент направляет в орган местного самоуправления муниципального образования уведомление о возврате субсидии в областной бюджет.</w:t>
      </w:r>
      <w:proofErr w:type="gramEnd"/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Объем средств, подлежащий возврату в областной бюджет в срок до 1 июня года, следующего за годом предоставления субсидии, рассчитывается по формуле: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в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= (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Vс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x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kv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) </w:t>
      </w: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x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0,1, где: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в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– объем средств, подлежащих возврату в областной бюджет;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proofErr w:type="gram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V</w:t>
      </w:r>
      <w:proofErr w:type="gram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с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– размер субсидии, предоставленной местному бюджету в отчетном финансовом году;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kv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– коэффициент возврата субсидии, рассчитываемый по формуле: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proofErr w:type="spellStart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kv</w:t>
      </w:r>
      <w:proofErr w:type="spellEnd"/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 xml:space="preserve"> = 1 – T / S, где:</w:t>
      </w: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</w:p>
    <w:p w:rsidR="00C37B03" w:rsidRPr="00C37B03" w:rsidRDefault="00C37B03" w:rsidP="00C37B03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T – фактически достигнутое значение показателя результативности использования субсидии на отчетную дату;</w:t>
      </w:r>
    </w:p>
    <w:p w:rsidR="00C37B03" w:rsidRPr="00C37B03" w:rsidRDefault="00C37B03" w:rsidP="00C37B03">
      <w:pPr>
        <w:widowControl w:val="0"/>
        <w:spacing w:before="220" w:after="0" w:line="240" w:lineRule="auto"/>
        <w:ind w:firstLine="709"/>
        <w:contextualSpacing/>
        <w:jc w:val="both"/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</w:pPr>
      <w:r w:rsidRPr="00C37B03">
        <w:rPr>
          <w:rFonts w:ascii="PT Astra Serif" w:eastAsia="Times New Roman" w:hAnsi="PT Astra Serif" w:cs="Calibri"/>
          <w:color w:val="000000"/>
          <w:sz w:val="26"/>
          <w:szCs w:val="26"/>
          <w:lang w:eastAsia="ru-RU"/>
        </w:rPr>
        <w:t>S – плановое значение показателя результативности использования субсидии, установленное соглашением.</w:t>
      </w:r>
    </w:p>
    <w:p w:rsidR="0085072B" w:rsidRDefault="0085072B"/>
    <w:sectPr w:rsidR="0085072B" w:rsidSect="001F79DE">
      <w:headerReference w:type="default" r:id="rId10"/>
      <w:pgSz w:w="11906" w:h="16838"/>
      <w:pgMar w:top="1134" w:right="1134" w:bottom="1134" w:left="1134" w:header="709" w:footer="709" w:gutter="0"/>
      <w:pgNumType w:start="5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9DE" w:rsidRDefault="001F79DE" w:rsidP="001F79DE">
      <w:pPr>
        <w:spacing w:after="0" w:line="240" w:lineRule="auto"/>
      </w:pPr>
      <w:r>
        <w:separator/>
      </w:r>
    </w:p>
  </w:endnote>
  <w:endnote w:type="continuationSeparator" w:id="0">
    <w:p w:rsidR="001F79DE" w:rsidRDefault="001F79DE" w:rsidP="001F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9DE" w:rsidRDefault="001F79DE" w:rsidP="001F79DE">
      <w:pPr>
        <w:spacing w:after="0" w:line="240" w:lineRule="auto"/>
      </w:pPr>
      <w:r>
        <w:separator/>
      </w:r>
    </w:p>
  </w:footnote>
  <w:footnote w:type="continuationSeparator" w:id="0">
    <w:p w:rsidR="001F79DE" w:rsidRDefault="001F79DE" w:rsidP="001F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43497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F79DE" w:rsidRPr="001F79DE" w:rsidRDefault="001F79DE" w:rsidP="001F79DE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F79DE">
          <w:rPr>
            <w:rFonts w:ascii="PT Astra Serif" w:hAnsi="PT Astra Serif"/>
            <w:sz w:val="24"/>
            <w:szCs w:val="24"/>
          </w:rPr>
          <w:fldChar w:fldCharType="begin"/>
        </w:r>
        <w:r w:rsidRPr="001F79DE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1F79D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581</w:t>
        </w:r>
        <w:r w:rsidRPr="001F79D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804"/>
    <w:rsid w:val="001F79DE"/>
    <w:rsid w:val="002D610E"/>
    <w:rsid w:val="005230DA"/>
    <w:rsid w:val="0085072B"/>
    <w:rsid w:val="00C37B03"/>
    <w:rsid w:val="00CD3804"/>
    <w:rsid w:val="00FF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79DE"/>
  </w:style>
  <w:style w:type="paragraph" w:styleId="a7">
    <w:name w:val="footer"/>
    <w:basedOn w:val="a"/>
    <w:link w:val="a8"/>
    <w:uiPriority w:val="99"/>
    <w:semiHidden/>
    <w:unhideWhenUsed/>
    <w:rsid w:val="001F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7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6662505DD19A93F97519D93E35D36325D968BF3B265691948D8ABC96E138BAD9DE426127E5F026C97DC8F0A80B1194392DA66A05sCJ2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50;&#1060;&#1055;&#1057;\VDI\&#1050;&#1091;&#1088;&#1080;&#1088;&#1091;&#1077;&#1084;&#1099;&#1077;%20&#1085;&#1072;&#1087;&#1088;&#1072;&#1074;&#1083;&#1077;&#1085;&#1080;&#1103;\&#1043;&#1086;&#1089;&#1087;&#1088;&#1086;&#1075;&#1088;&#1072;&#1084;&#1084;&#1099;\&#1044;&#1059;&#1043;&#1057;\&#1043;&#1055;\&#1055;&#1088;&#1086;&#1077;&#1082;&#1090;%20&#1043;&#1055;%20&#1085;&#1072;%202024-2026%20&#1075;&#1075;%201%20.docx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vdi</dc:creator>
  <cp:keywords/>
  <dc:description/>
  <cp:lastModifiedBy>gmp</cp:lastModifiedBy>
  <cp:revision>4</cp:revision>
  <dcterms:created xsi:type="dcterms:W3CDTF">2023-09-14T03:21:00Z</dcterms:created>
  <dcterms:modified xsi:type="dcterms:W3CDTF">2023-09-23T11:25:00Z</dcterms:modified>
</cp:coreProperties>
</file>